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int="eastAsia" w:ascii="仿宋_GB2312" w:hAnsi="仿宋_GB2312" w:eastAsia="仿宋_GB2312" w:cs="仿宋_GB2312"/>
          <w:b/>
          <w:bCs/>
          <w:sz w:val="88"/>
          <w:szCs w:val="88"/>
        </w:rPr>
      </w:pPr>
      <w:r>
        <w:rPr>
          <w:rFonts w:hint="eastAsia" w:ascii="仿宋_GB2312" w:hAnsi="仿宋_GB2312" w:eastAsia="仿宋_GB2312" w:cs="仿宋_GB2312"/>
          <w:b/>
          <w:bCs/>
          <w:color w:val="FF0000"/>
          <w:spacing w:val="-68"/>
          <w:sz w:val="88"/>
          <w:szCs w:val="88"/>
        </w:rPr>
        <w:t>三明学院</w:t>
      </w:r>
      <w:r>
        <w:rPr>
          <w:rFonts w:hint="eastAsia" w:ascii="仿宋_GB2312" w:hAnsi="仿宋_GB2312" w:eastAsia="仿宋_GB2312" w:cs="仿宋_GB2312"/>
          <w:b/>
          <w:bCs/>
          <w:color w:val="FF0000"/>
          <w:spacing w:val="-68"/>
          <w:sz w:val="88"/>
          <w:szCs w:val="88"/>
          <w:lang w:eastAsia="zh-CN"/>
        </w:rPr>
        <w:t>计划财务</w:t>
      </w:r>
      <w:r>
        <w:rPr>
          <w:rFonts w:hint="eastAsia" w:ascii="仿宋_GB2312" w:hAnsi="仿宋_GB2312" w:eastAsia="仿宋_GB2312" w:cs="仿宋_GB2312"/>
          <w:b/>
          <w:bCs/>
          <w:color w:val="FF0000"/>
          <w:spacing w:val="-68"/>
          <w:sz w:val="88"/>
          <w:szCs w:val="88"/>
        </w:rPr>
        <w:t>处文件</w:t>
      </w:r>
    </w:p>
    <w:p>
      <w:pPr>
        <w:spacing w:line="620" w:lineRule="exact"/>
        <w:jc w:val="center"/>
        <w:rPr>
          <w:rFonts w:hint="eastAsia" w:ascii="仿宋_GB2312" w:hAnsi="仿宋_GB2312" w:eastAsia="仿宋_GB2312" w:cs="仿宋_GB2312"/>
          <w:sz w:val="32"/>
        </w:rPr>
      </w:pPr>
      <w:r>
        <w:rPr>
          <w:rFonts w:hint="eastAsia" w:ascii="仿宋_GB2312" w:hAnsi="仿宋_GB2312" w:eastAsia="仿宋_GB2312" w:cs="仿宋_GB2312"/>
          <w:b/>
          <w:bCs/>
          <w:spacing w:val="6"/>
          <w:kern w:val="0"/>
          <w:sz w:val="32"/>
          <w:szCs w:val="32"/>
        </w:rPr>
        <w:drawing>
          <wp:anchor distT="0" distB="0" distL="114300" distR="114300" simplePos="0" relativeHeight="251662336" behindDoc="1" locked="0" layoutInCell="1" allowOverlap="1">
            <wp:simplePos x="0" y="0"/>
            <wp:positionH relativeFrom="margin">
              <wp:align>left</wp:align>
            </wp:positionH>
            <wp:positionV relativeFrom="paragraph">
              <wp:posOffset>559435</wp:posOffset>
            </wp:positionV>
            <wp:extent cx="5263515" cy="71755"/>
            <wp:effectExtent l="0" t="0" r="13335" b="4445"/>
            <wp:wrapTight wrapText="bothSides">
              <wp:wrapPolygon>
                <wp:start x="0" y="0"/>
                <wp:lineTo x="0" y="16057"/>
                <wp:lineTo x="21498" y="16057"/>
                <wp:lineTo x="21498" y="0"/>
                <wp:lineTo x="0" y="0"/>
              </wp:wrapPolygon>
            </wp:wrapTight>
            <wp:docPr id="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pic:cNvPicPr>
                      <a:picLocks noChangeAspect="1"/>
                    </pic:cNvPicPr>
                  </pic:nvPicPr>
                  <pic:blipFill>
                    <a:blip r:embed="rId5"/>
                    <a:stretch>
                      <a:fillRect/>
                    </a:stretch>
                  </pic:blipFill>
                  <pic:spPr>
                    <a:xfrm>
                      <a:off x="0" y="0"/>
                      <a:ext cx="5263515" cy="71755"/>
                    </a:xfrm>
                    <a:prstGeom prst="rect">
                      <a:avLst/>
                    </a:prstGeom>
                    <a:noFill/>
                    <a:ln w="9525">
                      <a:noFill/>
                    </a:ln>
                  </pic:spPr>
                </pic:pic>
              </a:graphicData>
            </a:graphic>
          </wp:anchor>
        </w:drawing>
      </w:r>
      <w:r>
        <w:rPr>
          <w:rFonts w:hint="eastAsia" w:ascii="仿宋_GB2312" w:hAnsi="仿宋_GB2312" w:eastAsia="仿宋_GB2312" w:cs="仿宋_GB2312"/>
          <w:sz w:val="32"/>
        </w:rPr>
        <w:t>明院</w:t>
      </w:r>
      <w:r>
        <w:rPr>
          <w:rFonts w:hint="eastAsia" w:ascii="仿宋_GB2312" w:hAnsi="仿宋_GB2312" w:eastAsia="仿宋_GB2312" w:cs="仿宋_GB2312"/>
          <w:sz w:val="32"/>
          <w:lang w:eastAsia="zh-CN"/>
        </w:rPr>
        <w:t>财</w:t>
      </w:r>
      <w:r>
        <w:rPr>
          <w:rFonts w:hint="eastAsia" w:ascii="仿宋_GB2312" w:hAnsi="仿宋_GB2312" w:eastAsia="仿宋_GB2312" w:cs="仿宋_GB2312"/>
          <w:sz w:val="32"/>
        </w:rPr>
        <w:t>〔201</w:t>
      </w:r>
      <w:r>
        <w:rPr>
          <w:rFonts w:hint="eastAsia" w:ascii="仿宋_GB2312" w:hAnsi="仿宋_GB2312" w:eastAsia="仿宋_GB2312" w:cs="仿宋_GB2312"/>
          <w:sz w:val="32"/>
          <w:lang w:val="en-US" w:eastAsia="zh-CN"/>
        </w:rPr>
        <w:t>8</w:t>
      </w:r>
      <w:r>
        <w:rPr>
          <w:rFonts w:hint="eastAsia" w:ascii="仿宋_GB2312" w:hAnsi="仿宋_GB2312" w:eastAsia="仿宋_GB2312" w:cs="仿宋_GB2312"/>
          <w:sz w:val="32"/>
        </w:rPr>
        <w:t>〕</w:t>
      </w:r>
      <w:r>
        <w:rPr>
          <w:rFonts w:hint="eastAsia" w:ascii="仿宋_GB2312" w:hAnsi="仿宋_GB2312" w:eastAsia="仿宋_GB2312" w:cs="仿宋_GB2312"/>
          <w:sz w:val="32"/>
          <w:lang w:val="en-US" w:eastAsia="zh-CN"/>
        </w:rPr>
        <w:t>2</w:t>
      </w:r>
      <w:r>
        <w:rPr>
          <w:rFonts w:hint="eastAsia" w:ascii="仿宋_GB2312" w:hAnsi="仿宋_GB2312" w:eastAsia="仿宋_GB2312" w:cs="仿宋_GB2312"/>
          <w:sz w:val="32"/>
        </w:rPr>
        <w:t>号</w:t>
      </w:r>
    </w:p>
    <w:p>
      <w:pPr>
        <w:keepNext w:val="0"/>
        <w:keepLines w:val="0"/>
        <w:pageBreakBefore w:val="0"/>
        <w:kinsoku/>
        <w:wordWrap/>
        <w:overflowPunct/>
        <w:topLinePunct w:val="0"/>
        <w:bidi w:val="0"/>
        <w:adjustRightInd w:val="0"/>
        <w:snapToGrid w:val="0"/>
        <w:spacing w:line="480" w:lineRule="auto"/>
        <w:ind w:left="0" w:leftChars="0"/>
        <w:jc w:val="center"/>
        <w:textAlignment w:val="auto"/>
        <w:outlineLvl w:val="9"/>
        <w:rPr>
          <w:rFonts w:hint="eastAsia" w:ascii="仿宋" w:hAnsi="仿宋" w:eastAsia="仿宋" w:cs="仿宋"/>
          <w:b/>
          <w:sz w:val="44"/>
          <w:szCs w:val="44"/>
        </w:rPr>
      </w:pPr>
      <w:bookmarkStart w:id="2" w:name="_GoBack"/>
      <w:bookmarkStart w:id="0" w:name="文件标题"/>
      <w:r>
        <w:rPr>
          <w:rFonts w:hint="eastAsia" w:ascii="仿宋_GB2312" w:hAnsi="仿宋_GB2312" w:eastAsia="仿宋_GB2312" w:cs="仿宋_GB2312"/>
          <w:b/>
          <w:sz w:val="44"/>
          <w:szCs w:val="44"/>
          <w:lang w:eastAsia="zh-CN"/>
        </w:rPr>
        <w:t>关于转发三明市财政局差旅伙食费和市</w:t>
      </w:r>
      <w:r>
        <w:rPr>
          <w:rFonts w:hint="eastAsia" w:ascii="仿宋" w:hAnsi="仿宋" w:eastAsia="仿宋" w:cs="仿宋"/>
          <w:b/>
          <w:sz w:val="44"/>
          <w:szCs w:val="44"/>
          <w:lang w:eastAsia="zh-CN"/>
        </w:rPr>
        <w:t>内交通费有关事项的</w:t>
      </w:r>
      <w:r>
        <w:rPr>
          <w:rFonts w:hint="eastAsia" w:ascii="仿宋" w:hAnsi="仿宋" w:eastAsia="仿宋" w:cs="仿宋"/>
          <w:b/>
          <w:sz w:val="44"/>
          <w:szCs w:val="44"/>
        </w:rPr>
        <w:t>通知</w:t>
      </w:r>
      <w:bookmarkEnd w:id="0"/>
    </w:p>
    <w:bookmarkEnd w:id="2"/>
    <w:p>
      <w:pPr>
        <w:keepNext w:val="0"/>
        <w:keepLines w:val="0"/>
        <w:pageBreakBefore w:val="0"/>
        <w:widowControl w:val="0"/>
        <w:kinsoku/>
        <w:wordWrap/>
        <w:overflowPunct/>
        <w:topLinePunct w:val="0"/>
        <w:autoSpaceDE w:val="0"/>
        <w:autoSpaceDN w:val="0"/>
        <w:bidi w:val="0"/>
        <w:adjustRightInd w:val="0"/>
        <w:snapToGrid w:val="0"/>
        <w:spacing w:line="480" w:lineRule="auto"/>
        <w:ind w:left="0" w:leftChars="0" w:right="0" w:rightChars="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校内</w:t>
      </w:r>
      <w:r>
        <w:rPr>
          <w:rFonts w:hint="eastAsia" w:ascii="仿宋" w:hAnsi="仿宋" w:eastAsia="仿宋" w:cs="仿宋"/>
          <w:sz w:val="32"/>
          <w:szCs w:val="32"/>
        </w:rPr>
        <w:t>各单位：</w:t>
      </w:r>
    </w:p>
    <w:p>
      <w:pPr>
        <w:keepNext w:val="0"/>
        <w:keepLines w:val="0"/>
        <w:pageBreakBefore w:val="0"/>
        <w:widowControl w:val="0"/>
        <w:kinsoku/>
        <w:wordWrap/>
        <w:overflowPunct/>
        <w:topLinePunct w:val="0"/>
        <w:bidi w:val="0"/>
        <w:spacing w:line="480" w:lineRule="auto"/>
        <w:ind w:left="0" w:leftChars="0" w:right="0" w:rightChars="0" w:firstLine="640" w:firstLineChars="200"/>
        <w:textAlignment w:val="auto"/>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三明市财政局于近期印发《三明市财政局关于规范差旅伙食费和市内交通费票据使用有关事项的通知》（明财行</w:t>
      </w:r>
      <w:r>
        <w:rPr>
          <w:rFonts w:hint="eastAsia" w:ascii="仿宋" w:hAnsi="仿宋" w:eastAsia="仿宋" w:cs="仿宋"/>
          <w:sz w:val="32"/>
          <w:szCs w:val="32"/>
        </w:rPr>
        <w:t>〔201</w:t>
      </w:r>
      <w:r>
        <w:rPr>
          <w:rFonts w:hint="eastAsia" w:ascii="仿宋" w:hAnsi="仿宋" w:eastAsia="仿宋" w:cs="仿宋"/>
          <w:sz w:val="32"/>
          <w:szCs w:val="32"/>
          <w:lang w:val="en-US" w:eastAsia="zh-CN"/>
        </w:rPr>
        <w:t>8</w:t>
      </w:r>
      <w:r>
        <w:rPr>
          <w:rFonts w:hint="eastAsia" w:ascii="仿宋" w:hAnsi="仿宋" w:eastAsia="仿宋" w:cs="仿宋"/>
          <w:sz w:val="32"/>
          <w:szCs w:val="32"/>
        </w:rPr>
        <w:t>〕</w:t>
      </w:r>
      <w:r>
        <w:rPr>
          <w:rFonts w:hint="eastAsia" w:ascii="仿宋" w:hAnsi="仿宋" w:eastAsia="仿宋" w:cs="仿宋"/>
          <w:sz w:val="32"/>
          <w:szCs w:val="32"/>
          <w:lang w:val="en-US" w:eastAsia="zh-CN"/>
        </w:rPr>
        <w:t>8</w:t>
      </w:r>
      <w:r>
        <w:rPr>
          <w:rFonts w:hint="eastAsia" w:ascii="仿宋" w:hAnsi="仿宋" w:eastAsia="仿宋" w:cs="仿宋"/>
          <w:sz w:val="32"/>
          <w:szCs w:val="32"/>
        </w:rPr>
        <w:t>号</w:t>
      </w:r>
      <w:r>
        <w:rPr>
          <w:rFonts w:hint="eastAsia" w:ascii="仿宋" w:hAnsi="仿宋" w:eastAsia="仿宋" w:cs="仿宋"/>
          <w:kern w:val="0"/>
          <w:sz w:val="32"/>
          <w:szCs w:val="32"/>
          <w:lang w:eastAsia="zh-CN"/>
        </w:rPr>
        <w:t>）和《三明市市直机关出差人员交纳伙食费和是捏交通费有关事项的暂行规定》（明财行</w:t>
      </w:r>
      <w:r>
        <w:rPr>
          <w:rFonts w:hint="eastAsia" w:ascii="仿宋" w:hAnsi="仿宋" w:eastAsia="仿宋" w:cs="仿宋"/>
          <w:sz w:val="32"/>
          <w:szCs w:val="32"/>
        </w:rPr>
        <w:t>〔201</w:t>
      </w:r>
      <w:r>
        <w:rPr>
          <w:rFonts w:hint="eastAsia" w:ascii="仿宋" w:hAnsi="仿宋" w:eastAsia="仿宋" w:cs="仿宋"/>
          <w:sz w:val="32"/>
          <w:szCs w:val="32"/>
          <w:lang w:val="en-US" w:eastAsia="zh-CN"/>
        </w:rPr>
        <w:t>8</w:t>
      </w:r>
      <w:r>
        <w:rPr>
          <w:rFonts w:hint="eastAsia" w:ascii="仿宋" w:hAnsi="仿宋" w:eastAsia="仿宋" w:cs="仿宋"/>
          <w:sz w:val="32"/>
          <w:szCs w:val="32"/>
        </w:rPr>
        <w:t>〕</w:t>
      </w:r>
      <w:r>
        <w:rPr>
          <w:rFonts w:hint="eastAsia" w:ascii="仿宋" w:hAnsi="仿宋" w:eastAsia="仿宋" w:cs="仿宋"/>
          <w:sz w:val="32"/>
          <w:szCs w:val="32"/>
          <w:lang w:val="en-US" w:eastAsia="zh-CN"/>
        </w:rPr>
        <w:t>10</w:t>
      </w:r>
      <w:r>
        <w:rPr>
          <w:rFonts w:hint="eastAsia" w:ascii="仿宋" w:hAnsi="仿宋" w:eastAsia="仿宋" w:cs="仿宋"/>
          <w:sz w:val="32"/>
          <w:szCs w:val="32"/>
        </w:rPr>
        <w:t>号</w:t>
      </w:r>
      <w:r>
        <w:rPr>
          <w:rFonts w:hint="eastAsia" w:ascii="仿宋" w:hAnsi="仿宋" w:eastAsia="仿宋" w:cs="仿宋"/>
          <w:kern w:val="0"/>
          <w:sz w:val="32"/>
          <w:szCs w:val="32"/>
          <w:lang w:eastAsia="zh-CN"/>
        </w:rPr>
        <w:t>），对出差人员伙食费、市内交通费的交纳和票据使用作出具体的规定。</w:t>
      </w:r>
    </w:p>
    <w:p>
      <w:pPr>
        <w:keepNext w:val="0"/>
        <w:keepLines w:val="0"/>
        <w:pageBreakBefore w:val="0"/>
        <w:widowControl w:val="0"/>
        <w:kinsoku/>
        <w:wordWrap/>
        <w:overflowPunct/>
        <w:topLinePunct w:val="0"/>
        <w:bidi w:val="0"/>
        <w:spacing w:line="480" w:lineRule="auto"/>
        <w:ind w:left="0" w:leftChars="0" w:right="0" w:rightChars="0" w:firstLine="640" w:firstLineChars="200"/>
        <w:textAlignment w:val="auto"/>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我处根据文件精神已更新《三明学院出差报销有关情况说明表》，即日起对差旅的伙食费和市内交通费将依照文件要求计算，现将文件印发你们，请遵照执行。</w:t>
      </w:r>
    </w:p>
    <w:p>
      <w:pPr>
        <w:keepNext w:val="0"/>
        <w:keepLines w:val="0"/>
        <w:pageBreakBefore w:val="0"/>
        <w:widowControl/>
        <w:kinsoku/>
        <w:wordWrap/>
        <w:overflowPunct/>
        <w:topLinePunct w:val="0"/>
        <w:bidi w:val="0"/>
        <w:spacing w:line="240" w:lineRule="auto"/>
        <w:ind w:left="0" w:leftChars="0" w:right="600"/>
        <w:jc w:val="both"/>
        <w:textAlignment w:val="auto"/>
        <w:outlineLvl w:val="9"/>
        <w:rPr>
          <w:rFonts w:hint="eastAsia" w:ascii="仿宋" w:hAnsi="仿宋" w:eastAsia="仿宋" w:cs="仿宋"/>
          <w:kern w:val="0"/>
          <w:sz w:val="32"/>
          <w:szCs w:val="32"/>
          <w:lang w:val="en-US" w:eastAsia="zh-CN"/>
        </w:rPr>
      </w:pPr>
    </w:p>
    <w:p>
      <w:pPr>
        <w:keepNext w:val="0"/>
        <w:keepLines w:val="0"/>
        <w:pageBreakBefore w:val="0"/>
        <w:widowControl/>
        <w:kinsoku/>
        <w:wordWrap/>
        <w:overflowPunct/>
        <w:topLinePunct w:val="0"/>
        <w:bidi w:val="0"/>
        <w:spacing w:line="240" w:lineRule="auto"/>
        <w:ind w:left="0" w:leftChars="0" w:right="600"/>
        <w:jc w:val="both"/>
        <w:textAlignment w:val="auto"/>
        <w:outlineLvl w:val="9"/>
        <w:rPr>
          <w:rFonts w:hint="eastAsia" w:ascii="仿宋" w:hAnsi="仿宋" w:eastAsia="仿宋" w:cs="仿宋"/>
          <w:kern w:val="0"/>
          <w:sz w:val="32"/>
          <w:szCs w:val="32"/>
          <w:lang w:val="en-US" w:eastAsia="zh-CN"/>
        </w:rPr>
      </w:pPr>
    </w:p>
    <w:p>
      <w:pPr>
        <w:keepNext w:val="0"/>
        <w:keepLines w:val="0"/>
        <w:pageBreakBefore w:val="0"/>
        <w:widowControl/>
        <w:kinsoku/>
        <w:wordWrap/>
        <w:overflowPunct/>
        <w:topLinePunct w:val="0"/>
        <w:bidi w:val="0"/>
        <w:spacing w:line="240" w:lineRule="auto"/>
        <w:ind w:left="0" w:leftChars="0" w:right="600"/>
        <w:jc w:val="both"/>
        <w:textAlignment w:val="auto"/>
        <w:outlineLvl w:val="9"/>
        <w:rPr>
          <w:rFonts w:hint="eastAsia" w:ascii="仿宋" w:hAnsi="仿宋" w:eastAsia="仿宋" w:cs="仿宋"/>
          <w:kern w:val="0"/>
          <w:sz w:val="32"/>
          <w:szCs w:val="32"/>
          <w:lang w:val="en-US" w:eastAsia="zh-CN"/>
        </w:rPr>
      </w:pPr>
    </w:p>
    <w:p>
      <w:pPr>
        <w:keepNext w:val="0"/>
        <w:keepLines w:val="0"/>
        <w:pageBreakBefore w:val="0"/>
        <w:widowControl/>
        <w:kinsoku/>
        <w:wordWrap/>
        <w:overflowPunct/>
        <w:topLinePunct w:val="0"/>
        <w:bidi w:val="0"/>
        <w:spacing w:line="240" w:lineRule="auto"/>
        <w:ind w:left="0" w:leftChars="0" w:right="600"/>
        <w:jc w:val="both"/>
        <w:textAlignment w:val="auto"/>
        <w:outlineLvl w:val="9"/>
        <w:rPr>
          <w:rFonts w:hint="eastAsia" w:ascii="仿宋" w:hAnsi="仿宋" w:eastAsia="仿宋" w:cs="仿宋"/>
          <w:kern w:val="0"/>
          <w:sz w:val="32"/>
          <w:szCs w:val="32"/>
          <w:lang w:val="en-US" w:eastAsia="zh-CN"/>
        </w:rPr>
      </w:pPr>
    </w:p>
    <w:p>
      <w:pPr>
        <w:spacing w:line="580" w:lineRule="exact"/>
        <w:jc w:val="center"/>
        <w:rPr>
          <w:rFonts w:hint="eastAsia" w:ascii="仿宋" w:hAnsi="仿宋" w:eastAsia="仿宋" w:cs="仿宋"/>
          <w:kern w:val="0"/>
          <w:sz w:val="32"/>
          <w:szCs w:val="32"/>
          <w:lang w:val="en-US" w:eastAsia="zh-CN"/>
        </w:rPr>
      </w:pPr>
      <w:r>
        <w:rPr>
          <w:rFonts w:hint="eastAsia" w:ascii="仿宋" w:hAnsi="仿宋" w:eastAsia="方正小标宋简体"/>
          <w:color w:val="000000"/>
          <w:spacing w:val="10"/>
          <w:sz w:val="44"/>
          <w:szCs w:val="44"/>
          <w:lang w:val="en-US" w:eastAsia="zh-CN"/>
        </w:rPr>
        <w:t>三明市财政局关于规范差旅伙食费和市内交通费票据使用有关事项的通知</w:t>
      </w:r>
    </w:p>
    <w:p>
      <w:pPr>
        <w:keepNext w:val="0"/>
        <w:keepLines w:val="0"/>
        <w:pageBreakBefore w:val="0"/>
        <w:widowControl/>
        <w:kinsoku/>
        <w:wordWrap/>
        <w:overflowPunct/>
        <w:topLinePunct w:val="0"/>
        <w:bidi w:val="0"/>
        <w:spacing w:line="240" w:lineRule="auto"/>
        <w:ind w:left="0" w:leftChars="0" w:right="600"/>
        <w:jc w:val="left"/>
        <w:textAlignment w:val="auto"/>
        <w:outlineLvl w:val="9"/>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市直各单位：</w:t>
      </w:r>
    </w:p>
    <w:p>
      <w:pPr>
        <w:keepNext w:val="0"/>
        <w:keepLines w:val="0"/>
        <w:pageBreakBefore w:val="0"/>
        <w:widowControl/>
        <w:kinsoku/>
        <w:wordWrap/>
        <w:overflowPunct/>
        <w:topLinePunct w:val="0"/>
        <w:bidi w:val="0"/>
        <w:spacing w:line="240" w:lineRule="auto"/>
        <w:ind w:left="0" w:leftChars="0" w:right="600"/>
        <w:jc w:val="left"/>
        <w:textAlignment w:val="auto"/>
        <w:outlineLvl w:val="9"/>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 xml:space="preserve">    为规范差旅伙食费和市内交通费交纳行为，根据《福建省财政厅关于规范差旅伙食费和市内交通费票据使用有关事项的通知》（闽财行[〔2018]〕3号）文件精神，现就伙食费和市内交通费票据使用有关事项通知如下：</w:t>
      </w:r>
    </w:p>
    <w:p>
      <w:pPr>
        <w:keepNext w:val="0"/>
        <w:keepLines w:val="0"/>
        <w:pageBreakBefore w:val="0"/>
        <w:widowControl/>
        <w:kinsoku/>
        <w:wordWrap/>
        <w:overflowPunct/>
        <w:topLinePunct w:val="0"/>
        <w:bidi w:val="0"/>
        <w:spacing w:line="240" w:lineRule="auto"/>
        <w:ind w:right="600" w:firstLine="640" w:firstLineChars="200"/>
        <w:jc w:val="left"/>
        <w:textAlignment w:val="auto"/>
        <w:outlineLvl w:val="9"/>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一、差旅伙食费和市内交通费实行包干使用，提倡、鼓励市直机关出差人员自行用餐或用车。自行用餐或用车的，报销时不需要提供交款凭证。</w:t>
      </w:r>
    </w:p>
    <w:p>
      <w:pPr>
        <w:keepNext w:val="0"/>
        <w:keepLines w:val="0"/>
        <w:pageBreakBefore w:val="0"/>
        <w:widowControl/>
        <w:kinsoku/>
        <w:wordWrap/>
        <w:overflowPunct/>
        <w:topLinePunct w:val="0"/>
        <w:bidi w:val="0"/>
        <w:spacing w:line="240" w:lineRule="auto"/>
        <w:ind w:left="0" w:leftChars="0" w:right="600" w:firstLine="640" w:firstLineChars="200"/>
        <w:jc w:val="left"/>
        <w:textAlignment w:val="auto"/>
        <w:outlineLvl w:val="9"/>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凡由接待单位协助安排就餐或提供交通工具的，出差人员应当在差旅费管理办法规定的标准内向接待单位交纳伙食费或市内交通费，接待单位不得拒收。</w:t>
      </w:r>
    </w:p>
    <w:p>
      <w:pPr>
        <w:keepNext w:val="0"/>
        <w:keepLines w:val="0"/>
        <w:pageBreakBefore w:val="0"/>
        <w:widowControl/>
        <w:kinsoku/>
        <w:wordWrap/>
        <w:overflowPunct/>
        <w:topLinePunct w:val="0"/>
        <w:bidi w:val="0"/>
        <w:spacing w:line="240" w:lineRule="auto"/>
        <w:ind w:left="0" w:leftChars="0" w:right="600" w:firstLine="640" w:firstLineChars="200"/>
        <w:jc w:val="left"/>
        <w:textAlignment w:val="auto"/>
        <w:outlineLvl w:val="9"/>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二、接待单位收到伙食费或市内交通费后，应向出差人员出具接收凭证。其中，在餐饮服务单位（如宾馆、餐馆等）用餐的，出差人员可直接向餐饮服务单位交纳伙食费并取得相应凭证；由行政机关、事业单位提供车辆或在内部食堂用餐的，接待单位应出具《福建省行政事业单位资金往来结算票据》等接收凭证（属于代收代付项目）。行政机关、事业单位可以按需向同级财政部门申领《福建省行政事业单位资金往来结算票据》。</w:t>
      </w:r>
    </w:p>
    <w:p>
      <w:pPr>
        <w:keepNext w:val="0"/>
        <w:keepLines w:val="0"/>
        <w:pageBreakBefore w:val="0"/>
        <w:widowControl/>
        <w:kinsoku/>
        <w:wordWrap/>
        <w:overflowPunct/>
        <w:topLinePunct w:val="0"/>
        <w:bidi w:val="0"/>
        <w:spacing w:line="240" w:lineRule="auto"/>
        <w:ind w:left="0" w:leftChars="0" w:right="600" w:firstLine="640" w:firstLineChars="200"/>
        <w:jc w:val="left"/>
        <w:textAlignment w:val="auto"/>
        <w:outlineLvl w:val="9"/>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市直机关出差人员在报销时应提供交款凭证，交款凭证作为报销附件归档。</w:t>
      </w:r>
    </w:p>
    <w:p>
      <w:pPr>
        <w:keepNext w:val="0"/>
        <w:keepLines w:val="0"/>
        <w:pageBreakBefore w:val="0"/>
        <w:widowControl/>
        <w:kinsoku/>
        <w:wordWrap/>
        <w:overflowPunct/>
        <w:topLinePunct w:val="0"/>
        <w:bidi w:val="0"/>
        <w:spacing w:line="240" w:lineRule="auto"/>
        <w:ind w:left="0" w:leftChars="0" w:right="600" w:firstLine="640" w:firstLineChars="200"/>
        <w:jc w:val="left"/>
        <w:textAlignment w:val="auto"/>
        <w:outlineLvl w:val="9"/>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三、接待单位收取的伙食费用、市内交通费用分别抵顶招待费和车辆运行支出。</w:t>
      </w:r>
    </w:p>
    <w:p>
      <w:pPr>
        <w:keepNext w:val="0"/>
        <w:keepLines w:val="0"/>
        <w:pageBreakBefore w:val="0"/>
        <w:widowControl/>
        <w:kinsoku/>
        <w:wordWrap/>
        <w:overflowPunct/>
        <w:topLinePunct w:val="0"/>
        <w:bidi w:val="0"/>
        <w:spacing w:line="240" w:lineRule="auto"/>
        <w:ind w:left="0" w:leftChars="0" w:right="600"/>
        <w:jc w:val="center"/>
        <w:textAlignment w:val="auto"/>
        <w:outlineLvl w:val="9"/>
        <w:rPr>
          <w:rFonts w:hint="eastAsia" w:ascii="仿宋" w:hAnsi="仿宋" w:eastAsia="仿宋" w:cs="仿宋"/>
          <w:kern w:val="0"/>
          <w:sz w:val="32"/>
          <w:szCs w:val="32"/>
          <w:lang w:val="en-US" w:eastAsia="zh-CN"/>
        </w:rPr>
      </w:pPr>
    </w:p>
    <w:p>
      <w:pPr>
        <w:keepNext w:val="0"/>
        <w:keepLines w:val="0"/>
        <w:pageBreakBefore w:val="0"/>
        <w:widowControl/>
        <w:kinsoku/>
        <w:wordWrap/>
        <w:overflowPunct/>
        <w:topLinePunct w:val="0"/>
        <w:bidi w:val="0"/>
        <w:spacing w:line="240" w:lineRule="auto"/>
        <w:ind w:left="0" w:leftChars="0" w:right="600"/>
        <w:jc w:val="center"/>
        <w:textAlignment w:val="auto"/>
        <w:outlineLvl w:val="9"/>
        <w:rPr>
          <w:rFonts w:hint="eastAsia" w:ascii="仿宋" w:hAnsi="仿宋" w:eastAsia="仿宋" w:cs="仿宋"/>
          <w:kern w:val="0"/>
          <w:sz w:val="32"/>
          <w:szCs w:val="32"/>
          <w:lang w:val="en-US" w:eastAsia="zh-CN"/>
        </w:rPr>
      </w:pPr>
    </w:p>
    <w:p>
      <w:pPr>
        <w:keepNext w:val="0"/>
        <w:keepLines w:val="0"/>
        <w:pageBreakBefore w:val="0"/>
        <w:widowControl/>
        <w:kinsoku/>
        <w:wordWrap/>
        <w:overflowPunct/>
        <w:topLinePunct w:val="0"/>
        <w:bidi w:val="0"/>
        <w:spacing w:line="240" w:lineRule="auto"/>
        <w:ind w:left="0" w:leftChars="0" w:right="600"/>
        <w:jc w:val="center"/>
        <w:textAlignment w:val="auto"/>
        <w:outlineLvl w:val="9"/>
        <w:rPr>
          <w:rFonts w:hint="eastAsia" w:ascii="仿宋" w:hAnsi="仿宋" w:eastAsia="仿宋" w:cs="仿宋"/>
          <w:kern w:val="0"/>
          <w:sz w:val="32"/>
          <w:szCs w:val="32"/>
          <w:lang w:val="en-US" w:eastAsia="zh-CN"/>
        </w:rPr>
      </w:pPr>
    </w:p>
    <w:p>
      <w:pPr>
        <w:keepNext w:val="0"/>
        <w:keepLines w:val="0"/>
        <w:pageBreakBefore w:val="0"/>
        <w:widowControl/>
        <w:kinsoku/>
        <w:wordWrap/>
        <w:overflowPunct/>
        <w:topLinePunct w:val="0"/>
        <w:bidi w:val="0"/>
        <w:spacing w:line="240" w:lineRule="auto"/>
        <w:ind w:left="0" w:leftChars="0" w:right="600"/>
        <w:jc w:val="right"/>
        <w:textAlignment w:val="auto"/>
        <w:outlineLvl w:val="9"/>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 xml:space="preserve">                      </w:t>
      </w:r>
    </w:p>
    <w:p>
      <w:pPr>
        <w:keepNext w:val="0"/>
        <w:keepLines w:val="0"/>
        <w:pageBreakBefore w:val="0"/>
        <w:widowControl/>
        <w:kinsoku/>
        <w:wordWrap/>
        <w:overflowPunct/>
        <w:topLinePunct w:val="0"/>
        <w:bidi w:val="0"/>
        <w:spacing w:line="240" w:lineRule="auto"/>
        <w:ind w:left="0" w:leftChars="0" w:right="600"/>
        <w:jc w:val="right"/>
        <w:textAlignment w:val="auto"/>
        <w:outlineLvl w:val="9"/>
        <w:rPr>
          <w:rFonts w:hint="eastAsia" w:ascii="仿宋" w:hAnsi="仿宋" w:eastAsia="仿宋" w:cs="仿宋"/>
          <w:kern w:val="0"/>
          <w:sz w:val="32"/>
          <w:szCs w:val="32"/>
          <w:lang w:val="en-US" w:eastAsia="zh-CN"/>
        </w:rPr>
      </w:pPr>
    </w:p>
    <w:p>
      <w:pPr>
        <w:keepNext w:val="0"/>
        <w:keepLines w:val="0"/>
        <w:pageBreakBefore w:val="0"/>
        <w:widowControl/>
        <w:kinsoku/>
        <w:wordWrap/>
        <w:overflowPunct/>
        <w:topLinePunct w:val="0"/>
        <w:bidi w:val="0"/>
        <w:spacing w:line="240" w:lineRule="auto"/>
        <w:ind w:left="0" w:leftChars="0" w:right="600"/>
        <w:jc w:val="right"/>
        <w:textAlignment w:val="auto"/>
        <w:outlineLvl w:val="9"/>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 xml:space="preserve">     </w:t>
      </w:r>
    </w:p>
    <w:p>
      <w:pPr>
        <w:keepNext w:val="0"/>
        <w:keepLines w:val="0"/>
        <w:pageBreakBefore w:val="0"/>
        <w:widowControl/>
        <w:kinsoku/>
        <w:wordWrap/>
        <w:overflowPunct/>
        <w:topLinePunct w:val="0"/>
        <w:bidi w:val="0"/>
        <w:spacing w:line="240" w:lineRule="auto"/>
        <w:ind w:left="0" w:leftChars="0" w:right="600"/>
        <w:jc w:val="both"/>
        <w:textAlignment w:val="auto"/>
        <w:outlineLvl w:val="9"/>
        <w:rPr>
          <w:rFonts w:hint="eastAsia" w:ascii="仿宋" w:hAnsi="仿宋" w:eastAsia="仿宋" w:cs="仿宋"/>
          <w:kern w:val="0"/>
          <w:sz w:val="32"/>
          <w:szCs w:val="32"/>
          <w:lang w:val="en-US" w:eastAsia="zh-CN"/>
        </w:rPr>
      </w:pPr>
    </w:p>
    <w:p>
      <w:pPr>
        <w:keepNext w:val="0"/>
        <w:keepLines w:val="0"/>
        <w:pageBreakBefore w:val="0"/>
        <w:widowControl/>
        <w:kinsoku/>
        <w:wordWrap/>
        <w:overflowPunct/>
        <w:topLinePunct w:val="0"/>
        <w:bidi w:val="0"/>
        <w:spacing w:line="240" w:lineRule="auto"/>
        <w:ind w:left="0" w:leftChars="0" w:right="600"/>
        <w:jc w:val="both"/>
        <w:textAlignment w:val="auto"/>
        <w:outlineLvl w:val="9"/>
        <w:rPr>
          <w:rFonts w:hint="eastAsia" w:ascii="仿宋" w:hAnsi="仿宋" w:eastAsia="仿宋" w:cs="仿宋"/>
          <w:kern w:val="0"/>
          <w:sz w:val="32"/>
          <w:szCs w:val="32"/>
          <w:lang w:val="en-US" w:eastAsia="zh-CN"/>
        </w:rPr>
      </w:pPr>
    </w:p>
    <w:p>
      <w:pPr>
        <w:keepNext w:val="0"/>
        <w:keepLines w:val="0"/>
        <w:pageBreakBefore w:val="0"/>
        <w:widowControl/>
        <w:kinsoku/>
        <w:wordWrap/>
        <w:overflowPunct/>
        <w:topLinePunct w:val="0"/>
        <w:bidi w:val="0"/>
        <w:spacing w:line="240" w:lineRule="auto"/>
        <w:ind w:left="0" w:leftChars="0" w:right="600"/>
        <w:jc w:val="both"/>
        <w:textAlignment w:val="auto"/>
        <w:outlineLvl w:val="9"/>
        <w:rPr>
          <w:rFonts w:hint="eastAsia" w:ascii="仿宋" w:hAnsi="仿宋" w:eastAsia="仿宋" w:cs="仿宋"/>
          <w:kern w:val="0"/>
          <w:sz w:val="32"/>
          <w:szCs w:val="32"/>
          <w:lang w:val="en-US" w:eastAsia="zh-CN"/>
        </w:rPr>
      </w:pPr>
    </w:p>
    <w:p>
      <w:pPr>
        <w:keepNext w:val="0"/>
        <w:keepLines w:val="0"/>
        <w:pageBreakBefore w:val="0"/>
        <w:widowControl/>
        <w:kinsoku/>
        <w:wordWrap/>
        <w:overflowPunct/>
        <w:topLinePunct w:val="0"/>
        <w:bidi w:val="0"/>
        <w:spacing w:line="240" w:lineRule="auto"/>
        <w:ind w:left="0" w:leftChars="0" w:right="600"/>
        <w:jc w:val="both"/>
        <w:textAlignment w:val="auto"/>
        <w:outlineLvl w:val="9"/>
        <w:rPr>
          <w:rFonts w:hint="eastAsia" w:ascii="仿宋" w:hAnsi="仿宋" w:eastAsia="仿宋" w:cs="仿宋"/>
          <w:kern w:val="0"/>
          <w:sz w:val="32"/>
          <w:szCs w:val="32"/>
          <w:lang w:val="en-US" w:eastAsia="zh-CN"/>
        </w:rPr>
      </w:pPr>
    </w:p>
    <w:p>
      <w:pPr>
        <w:keepNext w:val="0"/>
        <w:keepLines w:val="0"/>
        <w:pageBreakBefore w:val="0"/>
        <w:widowControl/>
        <w:kinsoku/>
        <w:wordWrap/>
        <w:overflowPunct/>
        <w:topLinePunct w:val="0"/>
        <w:bidi w:val="0"/>
        <w:spacing w:line="240" w:lineRule="auto"/>
        <w:ind w:left="0" w:leftChars="0" w:right="600"/>
        <w:jc w:val="both"/>
        <w:textAlignment w:val="auto"/>
        <w:outlineLvl w:val="9"/>
        <w:rPr>
          <w:rFonts w:hint="eastAsia" w:ascii="仿宋" w:hAnsi="仿宋" w:eastAsia="仿宋" w:cs="仿宋"/>
          <w:kern w:val="0"/>
          <w:sz w:val="32"/>
          <w:szCs w:val="32"/>
          <w:lang w:val="en-US" w:eastAsia="zh-CN"/>
        </w:rPr>
      </w:pPr>
    </w:p>
    <w:p>
      <w:pPr>
        <w:keepNext w:val="0"/>
        <w:keepLines w:val="0"/>
        <w:pageBreakBefore w:val="0"/>
        <w:widowControl/>
        <w:kinsoku/>
        <w:wordWrap/>
        <w:overflowPunct/>
        <w:topLinePunct w:val="0"/>
        <w:bidi w:val="0"/>
        <w:spacing w:line="240" w:lineRule="auto"/>
        <w:ind w:left="0" w:leftChars="0" w:right="600"/>
        <w:jc w:val="both"/>
        <w:textAlignment w:val="auto"/>
        <w:outlineLvl w:val="9"/>
        <w:rPr>
          <w:rFonts w:hint="eastAsia" w:ascii="仿宋" w:hAnsi="仿宋" w:eastAsia="仿宋" w:cs="仿宋"/>
          <w:kern w:val="0"/>
          <w:sz w:val="32"/>
          <w:szCs w:val="32"/>
          <w:lang w:val="en-US" w:eastAsia="zh-CN"/>
        </w:rPr>
      </w:pPr>
    </w:p>
    <w:p>
      <w:pPr>
        <w:keepNext w:val="0"/>
        <w:keepLines w:val="0"/>
        <w:pageBreakBefore w:val="0"/>
        <w:widowControl/>
        <w:kinsoku/>
        <w:wordWrap/>
        <w:overflowPunct/>
        <w:topLinePunct w:val="0"/>
        <w:bidi w:val="0"/>
        <w:spacing w:line="240" w:lineRule="auto"/>
        <w:ind w:left="0" w:leftChars="0" w:right="600"/>
        <w:jc w:val="both"/>
        <w:textAlignment w:val="auto"/>
        <w:outlineLvl w:val="9"/>
        <w:rPr>
          <w:rFonts w:hint="eastAsia" w:ascii="仿宋" w:hAnsi="仿宋" w:eastAsia="仿宋" w:cs="仿宋"/>
          <w:kern w:val="0"/>
          <w:sz w:val="32"/>
          <w:szCs w:val="32"/>
          <w:lang w:val="en-US" w:eastAsia="zh-CN"/>
        </w:rPr>
      </w:pPr>
    </w:p>
    <w:p>
      <w:pPr>
        <w:keepNext w:val="0"/>
        <w:keepLines w:val="0"/>
        <w:pageBreakBefore w:val="0"/>
        <w:widowControl/>
        <w:kinsoku/>
        <w:wordWrap/>
        <w:overflowPunct/>
        <w:topLinePunct w:val="0"/>
        <w:bidi w:val="0"/>
        <w:spacing w:line="240" w:lineRule="auto"/>
        <w:ind w:left="0" w:leftChars="0" w:right="600"/>
        <w:jc w:val="both"/>
        <w:textAlignment w:val="auto"/>
        <w:outlineLvl w:val="9"/>
        <w:rPr>
          <w:rFonts w:hint="eastAsia" w:ascii="仿宋" w:hAnsi="仿宋" w:eastAsia="仿宋" w:cs="仿宋"/>
          <w:kern w:val="0"/>
          <w:sz w:val="32"/>
          <w:szCs w:val="32"/>
          <w:lang w:val="en-US" w:eastAsia="zh-CN"/>
        </w:rPr>
      </w:pPr>
    </w:p>
    <w:p>
      <w:pPr>
        <w:keepNext w:val="0"/>
        <w:keepLines w:val="0"/>
        <w:pageBreakBefore w:val="0"/>
        <w:widowControl/>
        <w:kinsoku/>
        <w:wordWrap/>
        <w:overflowPunct/>
        <w:topLinePunct w:val="0"/>
        <w:bidi w:val="0"/>
        <w:spacing w:line="240" w:lineRule="auto"/>
        <w:ind w:left="0" w:leftChars="0" w:right="600"/>
        <w:jc w:val="both"/>
        <w:textAlignment w:val="auto"/>
        <w:outlineLvl w:val="9"/>
        <w:rPr>
          <w:rFonts w:hint="eastAsia" w:ascii="仿宋" w:hAnsi="仿宋" w:eastAsia="仿宋" w:cs="仿宋"/>
          <w:kern w:val="0"/>
          <w:sz w:val="32"/>
          <w:szCs w:val="32"/>
          <w:lang w:val="en-US" w:eastAsia="zh-CN"/>
        </w:rPr>
      </w:pPr>
    </w:p>
    <w:p>
      <w:pPr>
        <w:keepNext w:val="0"/>
        <w:keepLines w:val="0"/>
        <w:pageBreakBefore w:val="0"/>
        <w:widowControl/>
        <w:kinsoku/>
        <w:wordWrap/>
        <w:overflowPunct/>
        <w:topLinePunct w:val="0"/>
        <w:bidi w:val="0"/>
        <w:spacing w:line="240" w:lineRule="auto"/>
        <w:ind w:left="0" w:leftChars="0" w:right="600"/>
        <w:jc w:val="both"/>
        <w:textAlignment w:val="auto"/>
        <w:outlineLvl w:val="9"/>
        <w:rPr>
          <w:rFonts w:hint="eastAsia" w:ascii="仿宋" w:hAnsi="仿宋" w:eastAsia="仿宋" w:cs="仿宋"/>
          <w:kern w:val="0"/>
          <w:sz w:val="32"/>
          <w:szCs w:val="32"/>
          <w:lang w:val="en-US" w:eastAsia="zh-CN"/>
        </w:rPr>
      </w:pPr>
    </w:p>
    <w:p>
      <w:pPr>
        <w:keepNext w:val="0"/>
        <w:keepLines w:val="0"/>
        <w:pageBreakBefore w:val="0"/>
        <w:widowControl/>
        <w:kinsoku/>
        <w:wordWrap/>
        <w:overflowPunct/>
        <w:topLinePunct w:val="0"/>
        <w:bidi w:val="0"/>
        <w:spacing w:line="240" w:lineRule="auto"/>
        <w:ind w:left="0" w:leftChars="0" w:right="600"/>
        <w:jc w:val="both"/>
        <w:textAlignment w:val="auto"/>
        <w:outlineLvl w:val="9"/>
        <w:rPr>
          <w:rFonts w:hint="eastAsia" w:ascii="仿宋" w:hAnsi="仿宋" w:eastAsia="仿宋" w:cs="仿宋"/>
          <w:kern w:val="0"/>
          <w:sz w:val="32"/>
          <w:szCs w:val="32"/>
          <w:lang w:val="en-US" w:eastAsia="zh-CN"/>
        </w:rPr>
      </w:pPr>
    </w:p>
    <w:p>
      <w:pPr>
        <w:keepNext w:val="0"/>
        <w:keepLines w:val="0"/>
        <w:pageBreakBefore w:val="0"/>
        <w:widowControl/>
        <w:kinsoku/>
        <w:wordWrap/>
        <w:overflowPunct/>
        <w:topLinePunct w:val="0"/>
        <w:bidi w:val="0"/>
        <w:spacing w:line="240" w:lineRule="auto"/>
        <w:ind w:left="0" w:leftChars="0" w:right="600"/>
        <w:jc w:val="both"/>
        <w:textAlignment w:val="auto"/>
        <w:outlineLvl w:val="9"/>
        <w:rPr>
          <w:rFonts w:hint="eastAsia" w:ascii="仿宋" w:hAnsi="仿宋" w:eastAsia="仿宋" w:cs="仿宋"/>
          <w:kern w:val="0"/>
          <w:sz w:val="32"/>
          <w:szCs w:val="32"/>
          <w:lang w:val="en-US" w:eastAsia="zh-CN"/>
        </w:rPr>
      </w:pPr>
    </w:p>
    <w:p>
      <w:pPr>
        <w:spacing w:line="580" w:lineRule="exact"/>
        <w:jc w:val="center"/>
        <w:rPr>
          <w:rFonts w:hint="eastAsia" w:ascii="仿宋" w:hAnsi="仿宋" w:eastAsia="方正小标宋简体"/>
          <w:color w:val="000000"/>
          <w:spacing w:val="10"/>
          <w:sz w:val="44"/>
          <w:szCs w:val="44"/>
          <w:lang w:val="en-US" w:eastAsia="zh-CN"/>
        </w:rPr>
      </w:pPr>
      <w:r>
        <w:rPr>
          <w:rFonts w:hint="eastAsia" w:ascii="仿宋" w:hAnsi="仿宋" w:eastAsia="方正小标宋简体"/>
          <w:color w:val="000000"/>
          <w:spacing w:val="10"/>
          <w:sz w:val="44"/>
          <w:szCs w:val="44"/>
          <w:lang w:val="en-US" w:eastAsia="zh-CN"/>
        </w:rPr>
        <w:t>三明市市直机关出差人员交纳伙食费和市内交通费有关事项的暂行规定</w:t>
      </w:r>
    </w:p>
    <w:p>
      <w:pPr>
        <w:keepNext w:val="0"/>
        <w:keepLines w:val="0"/>
        <w:pageBreakBefore w:val="0"/>
        <w:widowControl/>
        <w:kinsoku/>
        <w:wordWrap/>
        <w:overflowPunct/>
        <w:topLinePunct w:val="0"/>
        <w:bidi w:val="0"/>
        <w:spacing w:line="240" w:lineRule="auto"/>
        <w:ind w:right="600"/>
        <w:jc w:val="both"/>
        <w:textAlignment w:val="auto"/>
        <w:outlineLvl w:val="9"/>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市直各单位：</w:t>
      </w:r>
    </w:p>
    <w:p>
      <w:pPr>
        <w:keepNext w:val="0"/>
        <w:keepLines w:val="0"/>
        <w:pageBreakBefore w:val="0"/>
        <w:widowControl/>
        <w:kinsoku/>
        <w:wordWrap/>
        <w:overflowPunct/>
        <w:topLinePunct w:val="0"/>
        <w:bidi w:val="0"/>
        <w:spacing w:line="240" w:lineRule="auto"/>
        <w:ind w:left="0" w:leftChars="0" w:right="600" w:firstLine="960" w:firstLineChars="300"/>
        <w:jc w:val="both"/>
        <w:textAlignment w:val="auto"/>
        <w:outlineLvl w:val="9"/>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为更好地执行《三明市市直机关差旅费管理办法》（明财行〔2014〕34号），规范出差人员伙食费和市内交通费的交纳，现就有关事项规定如下：</w:t>
      </w:r>
    </w:p>
    <w:p>
      <w:pPr>
        <w:keepNext w:val="0"/>
        <w:keepLines w:val="0"/>
        <w:pageBreakBefore w:val="0"/>
        <w:widowControl/>
        <w:kinsoku/>
        <w:wordWrap/>
        <w:overflowPunct/>
        <w:topLinePunct w:val="0"/>
        <w:bidi w:val="0"/>
        <w:spacing w:line="240" w:lineRule="auto"/>
        <w:ind w:left="0" w:leftChars="0" w:right="600" w:firstLine="640" w:firstLineChars="200"/>
        <w:jc w:val="both"/>
        <w:textAlignment w:val="auto"/>
        <w:outlineLvl w:val="9"/>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一、出差人员伙食费交纳事项</w:t>
      </w:r>
    </w:p>
    <w:p>
      <w:pPr>
        <w:keepNext w:val="0"/>
        <w:keepLines w:val="0"/>
        <w:pageBreakBefore w:val="0"/>
        <w:widowControl/>
        <w:kinsoku/>
        <w:wordWrap/>
        <w:overflowPunct/>
        <w:topLinePunct w:val="0"/>
        <w:bidi w:val="0"/>
        <w:spacing w:line="240" w:lineRule="auto"/>
        <w:ind w:left="0" w:leftChars="0" w:right="600" w:firstLine="640" w:firstLineChars="200"/>
        <w:jc w:val="both"/>
        <w:textAlignment w:val="auto"/>
        <w:outlineLvl w:val="9"/>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出差人员由接待单位统一安排伙食的，除接待单位按照《三明市党政机关国内公务接待管理实施办法》可安排一次工作餐不用交纳伙食费外，出差人员就餐应当自行解决。接待单位协助安排就餐的，出差人员应当在差旅费管理办法规定的标准内向接待单位交纳相应的伙食费，原则上市辖区内快餐每人每餐15元，早餐每人每餐10元，中、晚桌餐每人每餐25元；市辖区外快餐每人每餐15元，早餐每人每餐20元，中、晚桌餐每人每餐40元。今后如差旅费标准调整，则相应调整有关交纳标准。出差人员应主动向接待单位索要交款凭证，其中在餐饮服务单位（如宾馆、餐馆等）用餐的，出差人员可直接向餐饮服务单位交纳伙食费并取得相应凭证；在行政机关、事业单位内部食堂用餐的，接待单位应出具《福建省行政事业单位资金往来结算票据》等接收凭证。</w:t>
      </w:r>
    </w:p>
    <w:p>
      <w:pPr>
        <w:keepNext w:val="0"/>
        <w:keepLines w:val="0"/>
        <w:pageBreakBefore w:val="0"/>
        <w:widowControl/>
        <w:kinsoku/>
        <w:wordWrap/>
        <w:overflowPunct/>
        <w:topLinePunct w:val="0"/>
        <w:bidi w:val="0"/>
        <w:spacing w:line="240" w:lineRule="auto"/>
        <w:ind w:left="0" w:leftChars="0" w:right="600" w:firstLine="640" w:firstLineChars="200"/>
        <w:jc w:val="both"/>
        <w:textAlignment w:val="auto"/>
        <w:outlineLvl w:val="9"/>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出差人员在报销时应如实申报交款情况（参考格式见附件）并提供交款凭证，交款凭证作为报销附件归档。出差人员自行用餐的，报销时不需要提供交款凭证。</w:t>
      </w:r>
    </w:p>
    <w:p>
      <w:pPr>
        <w:keepNext w:val="0"/>
        <w:keepLines w:val="0"/>
        <w:pageBreakBefore w:val="0"/>
        <w:widowControl/>
        <w:kinsoku/>
        <w:wordWrap/>
        <w:overflowPunct/>
        <w:topLinePunct w:val="0"/>
        <w:bidi w:val="0"/>
        <w:spacing w:line="240" w:lineRule="auto"/>
        <w:ind w:left="0" w:leftChars="0" w:right="600" w:firstLine="640" w:firstLineChars="200"/>
        <w:jc w:val="both"/>
        <w:textAlignment w:val="auto"/>
        <w:outlineLvl w:val="9"/>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一天内由两家不同接待单位按照规定各安排一次工作餐的，出差人员当天不再领取伙食补助费。</w:t>
      </w:r>
    </w:p>
    <w:p>
      <w:pPr>
        <w:keepNext w:val="0"/>
        <w:keepLines w:val="0"/>
        <w:pageBreakBefore w:val="0"/>
        <w:widowControl/>
        <w:kinsoku/>
        <w:wordWrap/>
        <w:overflowPunct/>
        <w:topLinePunct w:val="0"/>
        <w:bidi w:val="0"/>
        <w:spacing w:line="240" w:lineRule="auto"/>
        <w:ind w:left="0" w:leftChars="0" w:right="600" w:firstLine="640" w:firstLineChars="200"/>
        <w:jc w:val="both"/>
        <w:textAlignment w:val="auto"/>
        <w:outlineLvl w:val="9"/>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二、出差人员市内交通费交纳事项</w:t>
      </w:r>
    </w:p>
    <w:p>
      <w:pPr>
        <w:keepNext w:val="0"/>
        <w:keepLines w:val="0"/>
        <w:pageBreakBefore w:val="0"/>
        <w:widowControl/>
        <w:kinsoku/>
        <w:wordWrap/>
        <w:overflowPunct/>
        <w:topLinePunct w:val="0"/>
        <w:bidi w:val="0"/>
        <w:spacing w:line="240" w:lineRule="auto"/>
        <w:ind w:left="0" w:leftChars="0" w:right="600" w:firstLine="640" w:firstLineChars="200"/>
        <w:jc w:val="both"/>
        <w:textAlignment w:val="auto"/>
        <w:outlineLvl w:val="9"/>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出差期间，市内交通应由出差人员自行解决。接待单位提供交通工具的，出差人员应当在差旅费管理办法规定的标准内向接待单位交纳市内交通费。出差人员应主动向接待单位索要交款凭证，其中行政机关、事业单位提供车辆的，接待单位应出具《福建省行政事业单位资金往来结算票据》等接收凭证。</w:t>
      </w:r>
    </w:p>
    <w:p>
      <w:pPr>
        <w:keepNext w:val="0"/>
        <w:keepLines w:val="0"/>
        <w:pageBreakBefore w:val="0"/>
        <w:widowControl/>
        <w:kinsoku/>
        <w:wordWrap/>
        <w:overflowPunct/>
        <w:topLinePunct w:val="0"/>
        <w:bidi w:val="0"/>
        <w:spacing w:line="240" w:lineRule="auto"/>
        <w:ind w:left="0" w:leftChars="0" w:right="600" w:firstLine="640" w:firstLineChars="200"/>
        <w:jc w:val="both"/>
        <w:textAlignment w:val="auto"/>
        <w:outlineLvl w:val="9"/>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出差人员在报销时应如实申报交款情况并提供交款凭证，交款凭证作为报销附件归档。出差人员自行用车的，报销时不需要提供交款凭证。</w:t>
      </w:r>
    </w:p>
    <w:p>
      <w:pPr>
        <w:keepNext w:val="0"/>
        <w:keepLines w:val="0"/>
        <w:pageBreakBefore w:val="0"/>
        <w:widowControl/>
        <w:kinsoku/>
        <w:wordWrap/>
        <w:overflowPunct/>
        <w:topLinePunct w:val="0"/>
        <w:bidi w:val="0"/>
        <w:spacing w:line="240" w:lineRule="auto"/>
        <w:ind w:left="0" w:leftChars="0" w:right="600"/>
        <w:jc w:val="both"/>
        <w:textAlignment w:val="auto"/>
        <w:outlineLvl w:val="9"/>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 xml:space="preserve"> </w:t>
      </w:r>
    </w:p>
    <w:p>
      <w:pPr>
        <w:keepNext w:val="0"/>
        <w:keepLines w:val="0"/>
        <w:pageBreakBefore w:val="0"/>
        <w:widowControl/>
        <w:kinsoku/>
        <w:wordWrap/>
        <w:overflowPunct/>
        <w:topLinePunct w:val="0"/>
        <w:bidi w:val="0"/>
        <w:spacing w:line="240" w:lineRule="auto"/>
        <w:ind w:left="0" w:leftChars="0" w:right="600"/>
        <w:jc w:val="both"/>
        <w:textAlignment w:val="auto"/>
        <w:outlineLvl w:val="9"/>
        <w:rPr>
          <w:rFonts w:hint="eastAsia" w:ascii="仿宋" w:hAnsi="仿宋" w:eastAsia="仿宋" w:cs="仿宋"/>
          <w:kern w:val="0"/>
          <w:sz w:val="32"/>
          <w:szCs w:val="32"/>
          <w:lang w:eastAsia="zh-CN"/>
        </w:rPr>
      </w:pPr>
      <w:r>
        <w:rPr>
          <w:rFonts w:hint="eastAsia" w:ascii="仿宋" w:hAnsi="仿宋" w:eastAsia="仿宋" w:cs="仿宋"/>
          <w:kern w:val="0"/>
          <w:sz w:val="32"/>
          <w:szCs w:val="32"/>
          <w:lang w:val="en-US" w:eastAsia="zh-CN"/>
        </w:rPr>
        <w:t>附件：1.</w:t>
      </w:r>
      <w:r>
        <w:rPr>
          <w:rFonts w:hint="eastAsia" w:ascii="仿宋" w:hAnsi="仿宋" w:eastAsia="仿宋" w:cs="仿宋"/>
          <w:kern w:val="0"/>
          <w:sz w:val="32"/>
          <w:szCs w:val="32"/>
          <w:lang w:eastAsia="zh-CN"/>
        </w:rPr>
        <w:t>《三明学院出差报销有关情况说明表》（新版）</w:t>
      </w:r>
    </w:p>
    <w:p>
      <w:pPr>
        <w:keepNext w:val="0"/>
        <w:keepLines w:val="0"/>
        <w:pageBreakBefore w:val="0"/>
        <w:widowControl/>
        <w:kinsoku/>
        <w:wordWrap/>
        <w:overflowPunct/>
        <w:topLinePunct w:val="0"/>
        <w:bidi w:val="0"/>
        <w:spacing w:line="240" w:lineRule="auto"/>
        <w:ind w:left="0" w:leftChars="0" w:right="600"/>
        <w:jc w:val="both"/>
        <w:textAlignment w:val="auto"/>
        <w:outlineLvl w:val="9"/>
        <w:rPr>
          <w:rFonts w:hint="eastAsia" w:ascii="仿宋" w:hAnsi="仿宋" w:eastAsia="仿宋" w:cs="仿宋"/>
          <w:kern w:val="0"/>
          <w:sz w:val="32"/>
          <w:szCs w:val="32"/>
          <w:lang w:val="en-US" w:eastAsia="zh-CN"/>
        </w:rPr>
      </w:pPr>
    </w:p>
    <w:p>
      <w:pPr>
        <w:keepNext w:val="0"/>
        <w:keepLines w:val="0"/>
        <w:pageBreakBefore w:val="0"/>
        <w:widowControl/>
        <w:kinsoku/>
        <w:wordWrap/>
        <w:overflowPunct/>
        <w:topLinePunct w:val="0"/>
        <w:bidi w:val="0"/>
        <w:spacing w:line="240" w:lineRule="auto"/>
        <w:ind w:left="0" w:leftChars="0" w:right="600"/>
        <w:jc w:val="center"/>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rPr>
        <w:t>计划财务处</w:t>
      </w:r>
      <w:bookmarkStart w:id="1" w:name="签发日期"/>
    </w:p>
    <w:p>
      <w:pPr>
        <w:keepNext w:val="0"/>
        <w:keepLines w:val="0"/>
        <w:pageBreakBefore w:val="0"/>
        <w:widowControl/>
        <w:kinsoku/>
        <w:wordWrap/>
        <w:overflowPunct/>
        <w:topLinePunct w:val="0"/>
        <w:bidi w:val="0"/>
        <w:spacing w:line="240" w:lineRule="auto"/>
        <w:ind w:left="0" w:leftChars="0" w:right="600"/>
        <w:jc w:val="right"/>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2018</w:t>
      </w:r>
      <w:r>
        <w:rPr>
          <w:rFonts w:hint="eastAsia" w:ascii="仿宋" w:hAnsi="仿宋" w:eastAsia="仿宋" w:cs="仿宋"/>
          <w:kern w:val="0"/>
          <w:sz w:val="32"/>
          <w:szCs w:val="32"/>
        </w:rPr>
        <w:t>年</w:t>
      </w:r>
      <w:r>
        <w:rPr>
          <w:rFonts w:hint="eastAsia" w:ascii="仿宋" w:hAnsi="仿宋" w:eastAsia="仿宋" w:cs="仿宋"/>
          <w:kern w:val="0"/>
          <w:sz w:val="32"/>
          <w:szCs w:val="32"/>
          <w:lang w:val="en-US" w:eastAsia="zh-CN"/>
        </w:rPr>
        <w:t>4</w:t>
      </w:r>
      <w:r>
        <w:rPr>
          <w:rFonts w:hint="eastAsia" w:ascii="仿宋" w:hAnsi="仿宋" w:eastAsia="仿宋" w:cs="仿宋"/>
          <w:kern w:val="0"/>
          <w:sz w:val="32"/>
          <w:szCs w:val="32"/>
        </w:rPr>
        <w:t>月</w:t>
      </w:r>
      <w:bookmarkEnd w:id="1"/>
      <w:r>
        <w:rPr>
          <w:rFonts w:hint="eastAsia" w:ascii="仿宋" w:hAnsi="仿宋" w:eastAsia="仿宋" w:cs="仿宋"/>
          <w:kern w:val="0"/>
          <w:sz w:val="32"/>
          <w:szCs w:val="32"/>
          <w:lang w:val="en-US" w:eastAsia="zh-CN"/>
        </w:rPr>
        <w:t>20</w:t>
      </w:r>
      <w:r>
        <w:rPr>
          <w:rFonts w:hint="eastAsia" w:ascii="仿宋" w:hAnsi="仿宋" w:eastAsia="仿宋" w:cs="仿宋"/>
          <w:kern w:val="0"/>
          <w:sz w:val="32"/>
          <w:szCs w:val="32"/>
        </w:rPr>
        <w:t>日</w:t>
      </w:r>
    </w:p>
    <w:p>
      <w:pPr>
        <w:keepNext w:val="0"/>
        <w:keepLines w:val="0"/>
        <w:pageBreakBefore w:val="0"/>
        <w:widowControl/>
        <w:kinsoku/>
        <w:wordWrap/>
        <w:overflowPunct/>
        <w:topLinePunct w:val="0"/>
        <w:bidi w:val="0"/>
        <w:spacing w:line="240" w:lineRule="auto"/>
        <w:ind w:left="0" w:leftChars="0" w:right="600"/>
        <w:jc w:val="right"/>
        <w:textAlignment w:val="auto"/>
        <w:outlineLvl w:val="9"/>
        <w:rPr>
          <w:rFonts w:hint="eastAsia" w:ascii="仿宋" w:hAnsi="仿宋" w:eastAsia="仿宋" w:cs="仿宋"/>
          <w:sz w:val="32"/>
          <w:szCs w:val="32"/>
        </w:rPr>
      </w:pPr>
      <w:r>
        <w:rPr>
          <w:rFonts w:hint="eastAsia" w:ascii="仿宋" w:hAnsi="仿宋" w:eastAsia="仿宋" w:cs="仿宋"/>
          <w:sz w:val="32"/>
          <w:szCs w:val="32"/>
        </w:rPr>
        <mc:AlternateContent>
          <mc:Choice Requires="wps">
            <w:drawing>
              <wp:anchor distT="0" distB="0" distL="114300" distR="114300" simplePos="0" relativeHeight="251661312" behindDoc="0" locked="0" layoutInCell="1" allowOverlap="1">
                <wp:simplePos x="0" y="0"/>
                <wp:positionH relativeFrom="margin">
                  <wp:posOffset>-2540</wp:posOffset>
                </wp:positionH>
                <wp:positionV relativeFrom="paragraph">
                  <wp:posOffset>353695</wp:posOffset>
                </wp:positionV>
                <wp:extent cx="5279390" cy="19050"/>
                <wp:effectExtent l="0" t="0" r="0" b="0"/>
                <wp:wrapNone/>
                <wp:docPr id="5"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5279390" cy="19050"/>
                        </a:xfrm>
                        <a:prstGeom prst="line">
                          <a:avLst/>
                        </a:prstGeom>
                        <a:noFill/>
                        <a:ln w="9525">
                          <a:solidFill>
                            <a:srgbClr val="000000"/>
                          </a:solidFill>
                          <a:round/>
                        </a:ln>
                        <a:effectLst/>
                      </wps:spPr>
                      <wps:bodyPr/>
                    </wps:wsp>
                  </a:graphicData>
                </a:graphic>
              </wp:anchor>
            </w:drawing>
          </mc:Choice>
          <mc:Fallback>
            <w:pict>
              <v:line id="直接连接符 4" o:spid="_x0000_s1026" o:spt="20" style="position:absolute;left:0pt;margin-left:-0.2pt;margin-top:27.85pt;height:1.5pt;width:415.7pt;mso-position-horizontal-relative:margin;z-index:251661312;mso-width-relative:page;mso-height-relative:page;" filled="f" stroked="t" coordsize="21600,21600" o:gfxdata="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i9FpwNYAAAAHAQAADwAAAAAAAAABACAAAAAi&#10;AAAAZHJzL2Rvd25yZXYueG1sUEsBAhQAFAAAAAgAh07iQKznXt7TAQAAbgMAAA4AAAAAAAAAAQAg&#10;AAAAJQEAAGRycy9lMm9Eb2MueG1sUEsFBgAAAAAGAAYAWQEAAGoFAAAAAA==&#10;">
                <v:fill on="f" focussize="0,0"/>
                <v:stroke color="#000000" joinstyle="round"/>
                <v:imagedata o:title=""/>
                <o:lock v:ext="edit" aspectratio="f"/>
              </v:line>
            </w:pict>
          </mc:Fallback>
        </mc:AlternateContent>
      </w:r>
    </w:p>
    <w:p>
      <w:pPr>
        <w:rPr>
          <w:rFonts w:hint="eastAsia" w:ascii="仿宋" w:hAnsi="仿宋" w:eastAsia="仿宋" w:cs="仿宋"/>
          <w:sz w:val="32"/>
          <w:szCs w:val="32"/>
        </w:rPr>
      </w:pPr>
      <w:r>
        <w:rPr>
          <w:rFonts w:hint="eastAsia" w:ascii="仿宋" w:hAnsi="仿宋" w:eastAsia="仿宋" w:cs="仿宋"/>
          <w:sz w:val="32"/>
          <w:szCs w:val="32"/>
        </w:rPr>
        <mc:AlternateContent>
          <mc:Choice Requires="wps">
            <w:drawing>
              <wp:anchor distT="0" distB="0" distL="114300" distR="114300" simplePos="0" relativeHeight="251658240" behindDoc="0" locked="0" layoutInCell="1" allowOverlap="1">
                <wp:simplePos x="0" y="0"/>
                <wp:positionH relativeFrom="margin">
                  <wp:posOffset>-2540</wp:posOffset>
                </wp:positionH>
                <wp:positionV relativeFrom="paragraph">
                  <wp:posOffset>363855</wp:posOffset>
                </wp:positionV>
                <wp:extent cx="5279390" cy="0"/>
                <wp:effectExtent l="0" t="0" r="0" b="0"/>
                <wp:wrapNone/>
                <wp:docPr id="2"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279390" cy="0"/>
                        </a:xfrm>
                        <a:prstGeom prst="line">
                          <a:avLst/>
                        </a:prstGeom>
                        <a:noFill/>
                        <a:ln w="9525">
                          <a:solidFill>
                            <a:srgbClr val="000000"/>
                          </a:solidFill>
                          <a:round/>
                        </a:ln>
                        <a:effectLst/>
                      </wps:spPr>
                      <wps:bodyPr/>
                    </wps:wsp>
                  </a:graphicData>
                </a:graphic>
              </wp:anchor>
            </w:drawing>
          </mc:Choice>
          <mc:Fallback>
            <w:pict>
              <v:line id="直接连接符 1" o:spid="_x0000_s1026" o:spt="20" style="position:absolute;left:0pt;margin-left:-0.2pt;margin-top:28.65pt;height:0pt;width:415.7pt;mso-position-horizontal-relative:margin;z-index:251658240;mso-width-relative:page;mso-height-relative:page;" filled="f" stroked="t" coordsize="21600,21600" o:gfxdata="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oNxft9UAAAAHAQAADwAAAAAAAAABACAAAAAiAAAAZHJz&#10;L2Rvd25yZXYueG1sUEsBAhQAFAAAAAgAh07iQFF5rJXOAQAAagMAAA4AAAAAAAAAAQAgAAAAJAEA&#10;AGRycy9lMm9Eb2MueG1sUEsFBgAAAAAGAAYAWQEAAGQFAAAAAA==&#10;">
                <v:fill on="f" focussize="0,0"/>
                <v:stroke color="#000000" joinstyle="round"/>
                <v:imagedata o:title=""/>
                <o:lock v:ext="edit" aspectratio="f"/>
              </v:line>
            </w:pict>
          </mc:Fallback>
        </mc:AlternateContent>
      </w:r>
      <w:r>
        <w:rPr>
          <w:rFonts w:hint="eastAsia" w:ascii="仿宋" w:hAnsi="仿宋" w:eastAsia="仿宋" w:cs="仿宋"/>
          <w:sz w:val="32"/>
          <w:szCs w:val="32"/>
        </w:rPr>
        <mc:AlternateContent>
          <mc:Choice Requires="wps">
            <w:drawing>
              <wp:anchor distT="0" distB="0" distL="114300" distR="114300" simplePos="0" relativeHeight="251660288" behindDoc="0" locked="0" layoutInCell="1" allowOverlap="1">
                <wp:simplePos x="0" y="0"/>
                <wp:positionH relativeFrom="column">
                  <wp:posOffset>1143000</wp:posOffset>
                </wp:positionH>
                <wp:positionV relativeFrom="paragraph">
                  <wp:posOffset>9399270</wp:posOffset>
                </wp:positionV>
                <wp:extent cx="5332095" cy="0"/>
                <wp:effectExtent l="0" t="0" r="0" b="0"/>
                <wp:wrapNone/>
                <wp:docPr id="4"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332095" cy="0"/>
                        </a:xfrm>
                        <a:prstGeom prst="line">
                          <a:avLst/>
                        </a:prstGeom>
                        <a:noFill/>
                        <a:ln w="9525">
                          <a:solidFill>
                            <a:srgbClr val="000000"/>
                          </a:solidFill>
                          <a:round/>
                        </a:ln>
                        <a:effectLst/>
                      </wps:spPr>
                      <wps:bodyPr/>
                    </wps:wsp>
                  </a:graphicData>
                </a:graphic>
              </wp:anchor>
            </w:drawing>
          </mc:Choice>
          <mc:Fallback>
            <w:pict>
              <v:line id="直接连接符 3" o:spid="_x0000_s1026" o:spt="20" style="position:absolute;left:0pt;margin-left:90pt;margin-top:740.1pt;height:0pt;width:419.85pt;z-index:251660288;mso-width-relative:page;mso-height-relative:page;" filled="f" stroked="t" coordsize="21600,21600" o:gfxdata="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c/qCM1wAAAA4BAAAPAAAAAAAAAAEAIAAAACIAAABk&#10;cnMvZG93bnJldi54bWxQSwECFAAUAAAACACHTuJAmMgwos4BAABqAwAADgAAAAAAAAABACAAAAAm&#10;AQAAZHJzL2Uyb0RvYy54bWxQSwUGAAAAAAYABgBZAQAAZgUAAAAA&#10;">
                <v:fill on="f" focussize="0,0"/>
                <v:stroke color="#000000" joinstyle="round"/>
                <v:imagedata o:title=""/>
                <o:lock v:ext="edit" aspectratio="f"/>
              </v:line>
            </w:pict>
          </mc:Fallback>
        </mc:AlternateContent>
      </w:r>
      <w:r>
        <w:rPr>
          <w:rFonts w:hint="eastAsia" w:ascii="仿宋" w:hAnsi="仿宋" w:eastAsia="仿宋" w:cs="仿宋"/>
          <w:sz w:val="32"/>
          <w:szCs w:val="32"/>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9399270</wp:posOffset>
                </wp:positionV>
                <wp:extent cx="5332095" cy="0"/>
                <wp:effectExtent l="0" t="0" r="0" b="0"/>
                <wp:wrapNone/>
                <wp:docPr id="3"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332095" cy="0"/>
                        </a:xfrm>
                        <a:prstGeom prst="line">
                          <a:avLst/>
                        </a:prstGeom>
                        <a:noFill/>
                        <a:ln w="9525">
                          <a:solidFill>
                            <a:srgbClr val="000000"/>
                          </a:solidFill>
                          <a:round/>
                        </a:ln>
                        <a:effectLst/>
                      </wps:spPr>
                      <wps:bodyPr/>
                    </wps:wsp>
                  </a:graphicData>
                </a:graphic>
              </wp:anchor>
            </w:drawing>
          </mc:Choice>
          <mc:Fallback>
            <w:pict>
              <v:line id="直接连接符 2" o:spid="_x0000_s1026" o:spt="20" style="position:absolute;left:0pt;margin-left:90pt;margin-top:740.1pt;height:0pt;width:419.85pt;z-index:251659264;mso-width-relative:page;mso-height-relative:page;" filled="f" stroked="t" coordsize="21600,21600" o:gfxdata="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c/qCM1wAAAA4BAAAPAAAAAAAAAAEAIAAAACIAAABk&#10;cnMvZG93bnJldi54bWxQSwECFAAUAAAACACHTuJAobW8B84BAABqAwAADgAAAAAAAAABACAAAAAm&#10;AQAAZHJzL2Uyb0RvYy54bWxQSwUGAAAAAAYABgBZAQAAZgUAAAAA&#10;">
                <v:fill on="f" focussize="0,0"/>
                <v:stroke color="#000000" joinstyle="round"/>
                <v:imagedata o:title=""/>
                <o:lock v:ext="edit" aspectratio="f"/>
              </v:line>
            </w:pict>
          </mc:Fallback>
        </mc:AlternateContent>
      </w:r>
      <w:r>
        <w:rPr>
          <w:rFonts w:hint="eastAsia" w:ascii="仿宋" w:hAnsi="仿宋" w:eastAsia="仿宋" w:cs="仿宋"/>
          <w:sz w:val="32"/>
          <w:szCs w:val="32"/>
        </w:rPr>
        <w:t>三明学院</w:t>
      </w:r>
      <w:r>
        <w:rPr>
          <w:rFonts w:hint="eastAsia" w:ascii="仿宋" w:hAnsi="仿宋" w:eastAsia="仿宋" w:cs="仿宋"/>
          <w:sz w:val="32"/>
          <w:szCs w:val="32"/>
          <w:lang w:eastAsia="zh-CN"/>
        </w:rPr>
        <w:t>计划财务</w:t>
      </w:r>
      <w:r>
        <w:rPr>
          <w:rFonts w:hint="eastAsia" w:ascii="仿宋" w:hAnsi="仿宋" w:eastAsia="仿宋" w:cs="仿宋"/>
          <w:sz w:val="32"/>
          <w:szCs w:val="32"/>
        </w:rPr>
        <w:t xml:space="preserve">处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201</w:t>
      </w:r>
      <w:r>
        <w:rPr>
          <w:rFonts w:hint="eastAsia" w:ascii="仿宋" w:hAnsi="仿宋" w:eastAsia="仿宋" w:cs="仿宋"/>
          <w:sz w:val="32"/>
          <w:szCs w:val="32"/>
          <w:lang w:val="en-US" w:eastAsia="zh-CN"/>
        </w:rPr>
        <w:t>8</w:t>
      </w:r>
      <w:r>
        <w:rPr>
          <w:rFonts w:hint="eastAsia" w:ascii="仿宋" w:hAnsi="仿宋" w:eastAsia="仿宋" w:cs="仿宋"/>
          <w:sz w:val="32"/>
          <w:szCs w:val="32"/>
        </w:rPr>
        <w:t>年</w:t>
      </w:r>
      <w:r>
        <w:rPr>
          <w:rFonts w:hint="eastAsia" w:ascii="仿宋" w:hAnsi="仿宋" w:eastAsia="仿宋" w:cs="仿宋"/>
          <w:sz w:val="32"/>
          <w:szCs w:val="32"/>
          <w:lang w:val="en-US" w:eastAsia="zh-CN"/>
        </w:rPr>
        <w:t>4</w:t>
      </w:r>
      <w:r>
        <w:rPr>
          <w:rFonts w:hint="eastAsia" w:ascii="仿宋" w:hAnsi="仿宋" w:eastAsia="仿宋" w:cs="仿宋"/>
          <w:sz w:val="32"/>
          <w:szCs w:val="32"/>
        </w:rPr>
        <w:t>月</w:t>
      </w:r>
      <w:r>
        <w:rPr>
          <w:rFonts w:hint="eastAsia" w:ascii="仿宋" w:hAnsi="仿宋" w:eastAsia="仿宋" w:cs="仿宋"/>
          <w:sz w:val="32"/>
          <w:szCs w:val="32"/>
          <w:lang w:val="en-US" w:eastAsia="zh-CN"/>
        </w:rPr>
        <w:t>20</w:t>
      </w:r>
      <w:r>
        <w:rPr>
          <w:rFonts w:hint="eastAsia" w:ascii="仿宋" w:hAnsi="仿宋" w:eastAsia="仿宋" w:cs="仿宋"/>
          <w:sz w:val="32"/>
          <w:szCs w:val="32"/>
        </w:rPr>
        <w:t>日印发</w:t>
      </w:r>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_x000B__x000C_">
    <w:altName w:val="Times New Roman"/>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O11wiEbAgAAIQQAAA4A&#10;AAAAAAAAAQAgAAAAHwEAAGRycy9lMm9Eb2MueG1sUEsFBgAAAAAGAAYAWQEAAKw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7B5213"/>
    <w:rsid w:val="0D960244"/>
    <w:rsid w:val="307B5213"/>
    <w:rsid w:val="40A13A6E"/>
    <w:rsid w:val="441A2F05"/>
    <w:rsid w:val="4AF22A77"/>
    <w:rsid w:val="6A08259B"/>
    <w:rsid w:val="73115063"/>
    <w:rsid w:val="785F5BC9"/>
    <w:rsid w:val="79D006FB"/>
    <w:rsid w:val="7EE239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customStyle="1" w:styleId="5">
    <w:name w:val="zw"/>
    <w:basedOn w:val="1"/>
    <w:qFormat/>
    <w:uiPriority w:val="0"/>
    <w:pPr>
      <w:widowControl/>
      <w:spacing w:before="100" w:beforeAutospacing="1" w:after="100" w:afterAutospacing="1" w:line="480" w:lineRule="auto"/>
    </w:pPr>
    <w:rPr>
      <w:rFonts w:ascii="_x000B__x000C_" w:hAnsi="_x000B__x000C_"/>
      <w:color w:val="000000"/>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2017-11-16T07:58:00Z</dcterms:created>
  <dc:creator>user</dc:creator>
  <cp:lastModifiedBy>Sue.✨</cp:lastModifiedBy>
  <dcterms:modified xsi:type="dcterms:W3CDTF">2018-04-20T08:16:02Z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